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16" w:before="0" w:after="28"/>
        <w:ind w:left="6372" w:right="0" w:hanging="0"/>
        <w:jc w:val="right"/>
        <w:rPr/>
      </w:pPr>
      <w:r>
        <w:rPr/>
        <w:drawing>
          <wp:anchor behindDoc="0" distT="0" distB="0" distL="0" distR="0" simplePos="0" locked="0" layoutInCell="1" allowOverlap="1" relativeHeight="2">
            <wp:simplePos x="0" y="0"/>
            <wp:positionH relativeFrom="column">
              <wp:posOffset>4048125</wp:posOffset>
            </wp:positionH>
            <wp:positionV relativeFrom="paragraph">
              <wp:posOffset>-382905</wp:posOffset>
            </wp:positionV>
            <wp:extent cx="2203450" cy="382905"/>
            <wp:effectExtent l="0" t="0" r="0" b="0"/>
            <wp:wrapNone/>
            <wp:docPr id="1"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
                    <pic:cNvPicPr>
                      <a:picLocks noChangeAspect="1" noChangeArrowheads="1"/>
                    </pic:cNvPicPr>
                  </pic:nvPicPr>
                  <pic:blipFill>
                    <a:blip r:embed="rId2"/>
                    <a:stretch>
                      <a:fillRect/>
                    </a:stretch>
                  </pic:blipFill>
                  <pic:spPr bwMode="auto">
                    <a:xfrm>
                      <a:off x="0" y="0"/>
                      <a:ext cx="2203450" cy="382905"/>
                    </a:xfrm>
                    <a:prstGeom prst="rect">
                      <a:avLst/>
                    </a:prstGeom>
                  </pic:spPr>
                </pic:pic>
              </a:graphicData>
            </a:graphic>
          </wp:anchor>
        </w:drawing>
      </w:r>
    </w:p>
    <w:p>
      <w:pPr>
        <w:pStyle w:val="Normal"/>
        <w:spacing w:lineRule="auto" w:line="259"/>
        <w:ind w:left="4670" w:right="0" w:hanging="0"/>
        <w:jc w:val="center"/>
        <w:rPr/>
      </w:pPr>
      <w:r>
        <w:rPr/>
      </w:r>
    </w:p>
    <w:p>
      <w:pPr>
        <w:pStyle w:val="Normal"/>
        <w:spacing w:lineRule="auto" w:line="259" w:before="0" w:after="93"/>
        <w:ind w:left="4670" w:right="0" w:hanging="0"/>
        <w:jc w:val="center"/>
        <w:rPr/>
      </w:pPr>
      <w:r>
        <w:rPr/>
      </w:r>
    </w:p>
    <w:p>
      <w:pPr>
        <w:pStyle w:val="Normal"/>
        <w:spacing w:lineRule="auto" w:line="259"/>
        <w:ind w:right="0" w:hanging="0"/>
        <w:rPr>
          <w:sz w:val="36"/>
        </w:rPr>
      </w:pPr>
      <w:r>
        <w:rPr>
          <w:sz w:val="36"/>
        </w:rPr>
        <w:t>Vorlage</w:t>
      </w:r>
    </w:p>
    <w:p>
      <w:pPr>
        <w:pStyle w:val="Normal"/>
        <w:spacing w:lineRule="auto" w:line="259"/>
        <w:ind w:right="0" w:hanging="0"/>
        <w:rPr/>
      </w:pPr>
      <w:r>
        <w:rPr/>
      </w:r>
    </w:p>
    <w:p>
      <w:pPr>
        <w:pStyle w:val="Normal"/>
        <w:rPr>
          <w:u w:val="single"/>
        </w:rPr>
      </w:pPr>
      <w:r>
        <w:rPr/>
        <w:t>für die 204. Sitzung des Senates der HTW Dresden</w:t>
      </w:r>
      <w:r>
        <w:rPr>
          <w:b w:val="false"/>
        </w:rPr>
        <w:t xml:space="preserve"> </w:t>
        <w:br/>
      </w:r>
      <w:r>
        <w:rPr/>
        <w:t xml:space="preserve">am </w:t>
      </w:r>
      <w:r>
        <w:rPr>
          <w:u w:val="single"/>
        </w:rPr>
        <w:t>04.04.2022</w:t>
      </w:r>
    </w:p>
    <w:p>
      <w:pPr>
        <w:pStyle w:val="Normal"/>
        <w:spacing w:lineRule="auto" w:line="259"/>
        <w:ind w:right="0" w:hanging="0"/>
        <w:rPr/>
      </w:pPr>
      <w:r>
        <w:rPr/>
      </w:r>
    </w:p>
    <w:tbl>
      <w:tblPr>
        <w:tblStyle w:val="TableGrid"/>
        <w:tblW w:w="9211" w:type="dxa"/>
        <w:jc w:val="left"/>
        <w:tblInd w:w="-70" w:type="dxa"/>
        <w:tblCellMar>
          <w:top w:w="11" w:type="dxa"/>
          <w:left w:w="70" w:type="dxa"/>
          <w:bottom w:w="0" w:type="dxa"/>
          <w:right w:w="115" w:type="dxa"/>
        </w:tblCellMar>
        <w:tblLook w:val="04a0" w:noHBand="0" w:noVBand="1" w:firstColumn="1" w:lastRow="0" w:lastColumn="0" w:firstRow="1"/>
      </w:tblPr>
      <w:tblGrid>
        <w:gridCol w:w="4459"/>
        <w:gridCol w:w="4751"/>
      </w:tblGrid>
      <w:tr>
        <w:trPr>
          <w:trHeight w:val="1047" w:hRule="atLeast"/>
        </w:trPr>
        <w:tc>
          <w:tcPr>
            <w:tcW w:w="44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pPr>
            <w:r>
              <w:rPr/>
              <w:t>1. Gegenstand der Vorlage</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b w:val="false"/>
                <w:b w:val="false"/>
                <w:szCs w:val="24"/>
              </w:rPr>
            </w:pPr>
            <w:r>
              <w:rPr>
                <w:b w:val="false"/>
                <w:szCs w:val="24"/>
              </w:rPr>
              <w:t>Anerkennung des dgti-Ergänzungsausweises</w:t>
            </w:r>
          </w:p>
        </w:tc>
      </w:tr>
      <w:tr>
        <w:trPr>
          <w:trHeight w:val="1047" w:hRule="atLeast"/>
        </w:trPr>
        <w:tc>
          <w:tcPr>
            <w:tcW w:w="44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pPr>
            <w:r>
              <w:rPr/>
              <w:t>2. Zuständigkeit des Senats gemäß</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b w:val="false"/>
                <w:b w:val="false"/>
              </w:rPr>
            </w:pPr>
            <w:r>
              <w:rPr>
                <w:b w:val="false"/>
              </w:rPr>
              <w:t>§ 81 Absatz 1 Satz 1 Punkt 13 SächsHSFG</w:t>
            </w:r>
          </w:p>
        </w:tc>
      </w:tr>
      <w:tr>
        <w:trPr>
          <w:trHeight w:val="1047" w:hRule="atLeast"/>
        </w:trPr>
        <w:tc>
          <w:tcPr>
            <w:tcW w:w="44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pPr>
            <w:r>
              <w:rPr/>
              <w:t>3. Einreicher/in</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b w:val="false"/>
                <w:b w:val="false"/>
              </w:rPr>
            </w:pPr>
            <w:r>
              <w:rPr>
                <w:b w:val="false"/>
              </w:rPr>
              <w:t>Studentische Vertretung im Senat,</w:t>
            </w:r>
          </w:p>
          <w:p>
            <w:pPr>
              <w:pStyle w:val="Normal"/>
              <w:spacing w:lineRule="auto" w:line="259"/>
              <w:ind w:right="0" w:hanging="0"/>
              <w:rPr>
                <w:b w:val="false"/>
                <w:b w:val="false"/>
              </w:rPr>
            </w:pPr>
            <w:r>
              <w:rPr>
                <w:b w:val="false"/>
              </w:rPr>
              <w:t>Studentinnenrat</w:t>
            </w:r>
          </w:p>
        </w:tc>
      </w:tr>
      <w:tr>
        <w:trPr>
          <w:trHeight w:val="1047" w:hRule="atLeast"/>
        </w:trPr>
        <w:tc>
          <w:tcPr>
            <w:tcW w:w="44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pPr>
            <w:r>
              <w:rPr/>
              <w:t>4. Berichterstatter/in</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b w:val="false"/>
                <w:b w:val="false"/>
              </w:rPr>
            </w:pPr>
            <w:r>
              <w:rPr>
                <w:b w:val="false"/>
              </w:rPr>
              <w:t>Jenny Weichelt, Gwyneth Hirschfeld</w:t>
            </w:r>
          </w:p>
        </w:tc>
      </w:tr>
      <w:tr>
        <w:trPr>
          <w:trHeight w:val="1047" w:hRule="atLeast"/>
        </w:trPr>
        <w:tc>
          <w:tcPr>
            <w:tcW w:w="44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pPr>
            <w:r>
              <w:rPr/>
              <w:t>5. Beschlussvorschlag</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b w:val="false"/>
                <w:b w:val="false"/>
              </w:rPr>
            </w:pPr>
            <w:r>
              <w:rPr>
                <w:b w:val="false"/>
              </w:rPr>
              <w:t xml:space="preserve">Der Senat möge beschließen, dass die Hochschule den dgti-Ergänzungsausweis anerkennt. </w:t>
            </w:r>
          </w:p>
        </w:tc>
      </w:tr>
      <w:tr>
        <w:trPr>
          <w:trHeight w:val="1047" w:hRule="atLeast"/>
        </w:trPr>
        <w:tc>
          <w:tcPr>
            <w:tcW w:w="44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pPr>
            <w:r>
              <w:rPr/>
              <w:t>6. Begründung</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b w:val="false"/>
                <w:b w:val="false"/>
              </w:rPr>
            </w:pPr>
            <w:r>
              <w:rPr>
                <w:b w:val="false"/>
              </w:rPr>
              <w:t xml:space="preserve">Dieses standardisierte Ausweispapier wird vom gemeinnützigen Verein </w:t>
            </w:r>
            <w:r>
              <w:rPr>
                <w:b w:val="false"/>
                <w:i/>
                <w:iCs/>
              </w:rPr>
              <w:t>Deutsche Gesellschaft für Transidentität und Intersexualität e.V.</w:t>
            </w:r>
            <w:r>
              <w:rPr>
                <w:b w:val="false"/>
              </w:rPr>
              <w:t xml:space="preserve"> ausgestellt und enthält die selbstgewählten Personendaten (Vorname, Pronomen, Geschlecht) und ein Passfoto. Damit bleibt einerseits die personenstandsrechtliche Zuordnung bestehen bis die amtliche Personenstandsänderung (in einem langwierigen, teuren und entwürdigenden Prozess) erfolgt, andererseits werden die Rechte Betroffener geachtet die eigene geschlechtliche Identität wählen zu können.</w:t>
            </w:r>
          </w:p>
          <w:p>
            <w:pPr>
              <w:pStyle w:val="Normal"/>
              <w:spacing w:lineRule="auto" w:line="259"/>
              <w:ind w:right="0" w:hanging="0"/>
              <w:rPr>
                <w:b w:val="false"/>
                <w:b w:val="false"/>
              </w:rPr>
            </w:pPr>
            <w:r>
              <w:rPr>
                <w:b w:val="false"/>
              </w:rPr>
            </w:r>
          </w:p>
          <w:p>
            <w:pPr>
              <w:pStyle w:val="Normal"/>
              <w:spacing w:lineRule="auto" w:line="259"/>
              <w:ind w:right="0" w:hanging="0"/>
              <w:rPr>
                <w:b w:val="false"/>
                <w:b w:val="false"/>
              </w:rPr>
            </w:pPr>
            <w:r>
              <w:rPr>
                <w:rFonts w:eastAsia="Arial" w:cs="Arial"/>
                <w:b w:val="false"/>
                <w:color w:val="000000"/>
                <w:sz w:val="24"/>
              </w:rPr>
              <w:t>Im</w:t>
            </w:r>
            <w:r>
              <w:rPr>
                <w:b w:val="false"/>
              </w:rPr>
              <w:t xml:space="preserve"> Leitbild der Hochschule </w:t>
            </w:r>
            <w:r>
              <w:rPr>
                <w:rFonts w:eastAsia="Arial" w:cs="Arial"/>
                <w:b w:val="false"/>
                <w:color w:val="000000"/>
                <w:sz w:val="24"/>
              </w:rPr>
              <w:t>heißt es „sie setzt sich […]</w:t>
            </w:r>
            <w:r>
              <w:rPr>
                <w:b w:val="false"/>
              </w:rPr>
              <w:t xml:space="preserve"> für ein förderliches soziales […] Umfeld ein“ und „verpflichtet sich […] zur Achtung aller Menschen“. Demnach sollte zeitgemäß und proaktiv die Anerkennung des Ergänzungsausweises, welcher die Diskriminierung von Amtswegen von TIN (Transidente*, Intergeschlechtliche* und Nicht-binäre Menschen) verhindert, erfolgen.</w:t>
              <w:br/>
              <w:t xml:space="preserve">Damit </w:t>
            </w:r>
            <w:r>
              <w:rPr>
                <w:rFonts w:eastAsia="Arial" w:cs="Arial"/>
                <w:b w:val="false"/>
                <w:color w:val="000000"/>
                <w:sz w:val="24"/>
              </w:rPr>
              <w:t>könnte</w:t>
            </w:r>
            <w:r>
              <w:rPr>
                <w:b w:val="false"/>
              </w:rPr>
              <w:t xml:space="preserve"> die Hochschule den </w:t>
            </w:r>
            <w:r>
              <w:rPr>
                <w:rFonts w:eastAsia="Arial" w:cs="Arial"/>
                <w:b w:val="false"/>
                <w:color w:val="000000"/>
                <w:sz w:val="24"/>
              </w:rPr>
              <w:t>10</w:t>
            </w:r>
            <w:r>
              <w:rPr>
                <w:b w:val="false"/>
              </w:rPr>
              <w:t xml:space="preserve"> der 14 Hochschulen in Sachsen folgen, die den Ausweis bereits anerkennen.</w:t>
              <w:br/>
              <w:t xml:space="preserve">Zudem folgt eine Anerkennung einem Urteil des BVerfG nach dem gültigen Anspruch auf Anrede im bewussten und erklärten Geschlecht sowie selbstgewählten Vornamen. </w:t>
            </w:r>
          </w:p>
          <w:p>
            <w:pPr>
              <w:pStyle w:val="Normal"/>
              <w:spacing w:lineRule="auto" w:line="259"/>
              <w:ind w:right="0" w:hanging="0"/>
              <w:rPr>
                <w:b w:val="false"/>
                <w:b w:val="false"/>
              </w:rPr>
            </w:pPr>
            <w:r>
              <w:rPr>
                <w:b w:val="false"/>
              </w:rPr>
            </w:r>
          </w:p>
          <w:p>
            <w:pPr>
              <w:pStyle w:val="Normal"/>
              <w:spacing w:lineRule="auto" w:line="259"/>
              <w:ind w:right="0" w:hanging="0"/>
              <w:rPr>
                <w:b w:val="false"/>
                <w:b w:val="false"/>
              </w:rPr>
            </w:pPr>
            <w:r>
              <w:rPr>
                <w:b w:val="false"/>
              </w:rPr>
              <w:t xml:space="preserve">Bisher gibt es keine genaue Festlegung des </w:t>
            </w:r>
            <w:r>
              <w:rPr>
                <w:rFonts w:eastAsia="Arial" w:cs="Arial"/>
                <w:b w:val="false"/>
                <w:color w:val="000000"/>
                <w:sz w:val="24"/>
              </w:rPr>
              <w:t>Bundesministeriums für Familie, Senioren, Frauen und Jugend</w:t>
            </w:r>
            <w:r>
              <w:rPr>
                <w:b w:val="false"/>
              </w:rPr>
              <w:t xml:space="preserve"> wann das </w:t>
            </w:r>
            <w:r>
              <w:rPr>
                <w:rFonts w:eastAsia="Arial" w:cs="Arial"/>
                <w:b w:val="false"/>
                <w:color w:val="000000"/>
                <w:sz w:val="24"/>
              </w:rPr>
              <w:t>Transsexuellengesetz</w:t>
            </w:r>
            <w:r>
              <w:rPr>
                <w:b w:val="false"/>
              </w:rPr>
              <w:t xml:space="preserve"> vom Selbstbestimmungsgesetz abgelöst wird. Daher trägt die Begründung der Hochschule, bis zur klaren Regelung rechtlicher Rahmenbedingungen warten zu wollen, zu einer Häufung diskriminierender Situationen im Hochschullalltag bei.</w:t>
            </w:r>
          </w:p>
          <w:p>
            <w:pPr>
              <w:pStyle w:val="Normal"/>
              <w:spacing w:lineRule="auto" w:line="259"/>
              <w:ind w:right="0" w:hanging="0"/>
              <w:rPr>
                <w:b w:val="false"/>
                <w:b w:val="false"/>
              </w:rPr>
            </w:pPr>
            <w:r>
              <w:rPr>
                <w:b w:val="false"/>
              </w:rPr>
            </w:r>
          </w:p>
          <w:p>
            <w:pPr>
              <w:pStyle w:val="Normal"/>
              <w:spacing w:lineRule="auto" w:line="259"/>
              <w:ind w:right="0" w:hanging="0"/>
              <w:rPr>
                <w:b w:val="false"/>
                <w:b w:val="false"/>
              </w:rPr>
            </w:pPr>
            <w:r>
              <w:rPr>
                <w:b w:val="false"/>
              </w:rPr>
              <w:t xml:space="preserve">Die Hochschule soll ein Ort sein, an dem Personen jeder geschlechtlichen Identität gute Studienbedingungen erfahren. „ Die Lehre an der HTW Dresden wird der Diversität von Studierenden und Lehrenden gerecht und fördert einen wertschätzenden und respektvollen Umgang mit dieser Vielfalt“, besagt deshalb das neue Leitbild Lehre. </w:t>
            </w:r>
            <w:r>
              <w:rPr>
                <w:rFonts w:eastAsia="Arial" w:cs="Arial"/>
                <w:b w:val="false"/>
                <w:color w:val="000000"/>
                <w:sz w:val="24"/>
              </w:rPr>
              <w:t>Dies</w:t>
            </w:r>
            <w:r>
              <w:rPr>
                <w:b w:val="false"/>
              </w:rPr>
              <w:t xml:space="preserve"> kann nur mit der Bekämpfung von Diskriminierung einhergehen, was eine Anerkennung des dgti-Ergänzungsausweises erforderlich macht. </w:t>
            </w:r>
          </w:p>
        </w:tc>
      </w:tr>
      <w:tr>
        <w:trPr>
          <w:trHeight w:val="1047" w:hRule="atLeast"/>
        </w:trPr>
        <w:tc>
          <w:tcPr>
            <w:tcW w:w="44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pPr>
            <w:r>
              <w:rPr/>
              <w:t>7. Anlagen</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1"/>
              </w:numPr>
              <w:spacing w:lineRule="auto" w:line="259"/>
              <w:ind w:left="720" w:right="0" w:hanging="360"/>
              <w:rPr>
                <w:b w:val="false"/>
                <w:b w:val="false"/>
              </w:rPr>
            </w:pPr>
            <w:r>
              <w:rPr>
                <w:b w:val="false"/>
              </w:rPr>
              <w:t>Beantwortung der kleinen Anfrage der Abgeordneten Anna Gorskih zum Thema: „Hochschulen für alle Geschlechter – Geschlechterinklusivität an Hochschulen“ durch das SMWK [1]</w:t>
            </w:r>
          </w:p>
          <w:p>
            <w:pPr>
              <w:pStyle w:val="ListParagraph"/>
              <w:numPr>
                <w:ilvl w:val="0"/>
                <w:numId w:val="1"/>
              </w:numPr>
              <w:spacing w:lineRule="auto" w:line="259"/>
              <w:ind w:left="720" w:right="0" w:hanging="360"/>
              <w:rPr>
                <w:b w:val="false"/>
                <w:b w:val="false"/>
              </w:rPr>
            </w:pPr>
            <w:r>
              <w:rPr>
                <w:rFonts w:eastAsia="Arial" w:cs="Arial"/>
                <w:b w:val="false"/>
                <w:color w:val="000000"/>
                <w:sz w:val="24"/>
              </w:rPr>
              <w:t>Beschluss</w:t>
            </w:r>
            <w:r>
              <w:rPr>
                <w:b w:val="false"/>
              </w:rPr>
              <w:t xml:space="preserve"> 21/22-12-0133 „Forderung Anerkennung Ergänzungsausweis dgti e.V.“ des StuRa [2]</w:t>
            </w:r>
          </w:p>
          <w:p>
            <w:pPr>
              <w:pStyle w:val="Normal"/>
              <w:spacing w:lineRule="auto" w:line="259"/>
              <w:ind w:right="0" w:hanging="0"/>
              <w:rPr>
                <w:b w:val="false"/>
                <w:b w:val="false"/>
              </w:rPr>
            </w:pPr>
            <w:r>
              <w:rPr>
                <w:b w:val="false"/>
              </w:rPr>
              <w:t xml:space="preserve"> </w:t>
            </w:r>
          </w:p>
        </w:tc>
      </w:tr>
    </w:tbl>
    <w:p>
      <w:pPr>
        <w:pStyle w:val="Normal"/>
        <w:spacing w:lineRule="auto" w:line="259" w:before="0" w:after="160"/>
        <w:ind w:right="0" w:hanging="0"/>
        <w:rPr>
          <w:sz w:val="20"/>
          <w:szCs w:val="20"/>
          <w:u w:val="single"/>
        </w:rPr>
      </w:pPr>
      <w:r>
        <w:rPr>
          <w:sz w:val="20"/>
          <w:szCs w:val="20"/>
          <w:u w:val="single"/>
        </w:rPr>
      </w:r>
    </w:p>
    <w:p>
      <w:pPr>
        <w:pStyle w:val="Normal"/>
        <w:spacing w:lineRule="auto" w:line="259" w:before="0" w:after="160"/>
        <w:ind w:right="0" w:hanging="0"/>
        <w:rPr>
          <w:b w:val="false"/>
          <w:b w:val="false"/>
          <w:sz w:val="20"/>
          <w:szCs w:val="20"/>
        </w:rPr>
      </w:pPr>
      <w:r>
        <w:rPr>
          <w:b w:val="false"/>
          <w:sz w:val="20"/>
          <w:szCs w:val="20"/>
        </w:rPr>
        <w:t xml:space="preserve">[1] </w:t>
      </w:r>
      <w:hyperlink r:id="rId3">
        <w:r>
          <w:rPr>
            <w:rStyle w:val="InternetLink"/>
            <w:b w:val="false"/>
            <w:sz w:val="20"/>
            <w:szCs w:val="20"/>
          </w:rPr>
          <w:t>https://edas.landtag.sachsen.de/viewer.aspx?dok_nr=11009&amp;dok_art=Drs&amp;leg_per=7&amp;pos_dok=1&amp;dok_id=undefined</w:t>
        </w:r>
      </w:hyperlink>
    </w:p>
    <w:p>
      <w:pPr>
        <w:pStyle w:val="Normal"/>
        <w:spacing w:lineRule="auto" w:line="259" w:before="0" w:after="160"/>
        <w:ind w:right="0" w:hanging="0"/>
        <w:rPr>
          <w:b w:val="false"/>
          <w:b w:val="false"/>
          <w:sz w:val="20"/>
          <w:szCs w:val="20"/>
        </w:rPr>
      </w:pPr>
      <w:r>
        <w:rPr>
          <w:b w:val="false"/>
          <w:sz w:val="20"/>
          <w:szCs w:val="20"/>
        </w:rPr>
        <w:t xml:space="preserve">[2] </w:t>
      </w:r>
      <w:hyperlink r:id="rId4">
        <w:r>
          <w:rPr>
            <w:rStyle w:val="InternetLink"/>
            <w:b w:val="false"/>
            <w:sz w:val="20"/>
            <w:szCs w:val="20"/>
          </w:rPr>
          <w:t>https://www.stura.htw-dresden.de/stura/plenum/sitzungen/2021-2022/12/0133</w:t>
        </w:r>
      </w:hyperlink>
    </w:p>
    <w:sectPr>
      <w:type w:val="nextPage"/>
      <w:pgSz w:w="11906" w:h="16838"/>
      <w:pgMar w:left="1417" w:right="2347" w:header="0" w:top="1078"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6122"/>
    <w:pPr>
      <w:widowControl/>
      <w:suppressAutoHyphens w:val="false"/>
      <w:bidi w:val="0"/>
      <w:spacing w:lineRule="auto" w:line="312" w:before="0" w:after="0"/>
      <w:ind w:right="5" w:hanging="0"/>
      <w:jc w:val="left"/>
    </w:pPr>
    <w:rPr>
      <w:rFonts w:ascii="Arial" w:hAnsi="Arial" w:eastAsia="Arial" w:cs="Arial"/>
      <w:b/>
      <w:color w:val="000000"/>
      <w:kern w:val="0"/>
      <w:sz w:val="24"/>
      <w:szCs w:val="22"/>
      <w:lang w:val="de-DE" w:eastAsia="de-DE" w:bidi="ar-SA"/>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Sprechblasentext"/>
    <w:uiPriority w:val="99"/>
    <w:semiHidden/>
    <w:qFormat/>
    <w:rsid w:val="001f173e"/>
    <w:rPr>
      <w:rFonts w:ascii="Tahoma" w:hAnsi="Tahoma" w:eastAsia="Arial" w:cs="Tahoma"/>
      <w:b/>
      <w:color w:val="000000"/>
      <w:sz w:val="16"/>
      <w:szCs w:val="16"/>
    </w:rPr>
  </w:style>
  <w:style w:type="character" w:styleId="InternetLink">
    <w:name w:val="Hyperlink"/>
    <w:basedOn w:val="DefaultParagraphFont"/>
    <w:uiPriority w:val="99"/>
    <w:unhideWhenUsed/>
    <w:rsid w:val="00d04c22"/>
    <w:rPr>
      <w:color w:val="0563C1" w:themeColor="hyperlink"/>
      <w:u w:val="single"/>
    </w:rPr>
  </w:style>
  <w:style w:type="character" w:styleId="UnresolvedMention">
    <w:name w:val="Unresolved Mention"/>
    <w:basedOn w:val="DefaultParagraphFont"/>
    <w:uiPriority w:val="99"/>
    <w:semiHidden/>
    <w:unhideWhenUsed/>
    <w:qFormat/>
    <w:rsid w:val="00d04c22"/>
    <w:rPr>
      <w:color w:val="605E5C"/>
      <w:shd w:fill="E1DFDD" w:val="clear"/>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SprechblasentextZchn"/>
    <w:uiPriority w:val="99"/>
    <w:semiHidden/>
    <w:unhideWhenUsed/>
    <w:qFormat/>
    <w:rsid w:val="001f173e"/>
    <w:pPr>
      <w:spacing w:lineRule="auto" w:line="240"/>
    </w:pPr>
    <w:rPr>
      <w:rFonts w:ascii="Tahoma" w:hAnsi="Tahoma" w:cs="Tahoma"/>
      <w:sz w:val="16"/>
      <w:szCs w:val="16"/>
    </w:rPr>
  </w:style>
  <w:style w:type="paragraph" w:styleId="ListParagraph">
    <w:name w:val="List Paragraph"/>
    <w:basedOn w:val="Normal"/>
    <w:uiPriority w:val="34"/>
    <w:qFormat/>
    <w:rsid w:val="00d04c22"/>
    <w:pPr>
      <w:spacing w:before="0" w:after="0"/>
      <w:ind w:left="720" w:right="5"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rsid w:val="00026122"/>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edas.landtag.sachsen.de/viewer.aspx?dok_nr=11009&amp;dok_art=Drs&amp;leg_per=7&amp;pos_dok=1&amp;dok_id=undefined" TargetMode="External"/><Relationship Id="rId4" Type="http://schemas.openxmlformats.org/officeDocument/2006/relationships/hyperlink" Target="https://www.stura.htw-dresden.de/stura/plenum/sitzungen/2021-2022/12/0133"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D89C9-215A-4DA1-801C-2A1DFBB16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C:\Vorlagen Professoren\Senatsvorlage.dotx</Template>
  <TotalTime>8</TotalTime>
  <Application>LibreOffice/6.4.7.2$Linux_X86_64 LibreOffice_project/40$Build-2</Application>
  <Pages>3</Pages>
  <Words>350</Words>
  <Characters>2571</Characters>
  <CharactersWithSpaces>2902</CharactersWithSpaces>
  <Paragraphs>24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2022-11-25T10:54:00Z</dcterms:created>
  <dc:creator>Boschan, Ines</dc:creator>
  <dc:description/>
  <dc:language>de-DE</dc:language>
  <cp:lastModifiedBy/>
  <cp:lastPrinted>2016-02-16T10:14:00Z</cp:lastPrinted>
  <dcterms:modified xsi:type="dcterms:W3CDTF">2023-03-10T16:14:02Z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